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2698" w14:textId="31323100" w:rsidR="007E0A5F" w:rsidRDefault="1911A3BF" w:rsidP="377C88FB">
      <w:pPr>
        <w:spacing w:line="276" w:lineRule="auto"/>
        <w:jc w:val="both"/>
        <w:rPr>
          <w:rFonts w:ascii="Source Sans Pro" w:eastAsia="Source Sans Pro" w:hAnsi="Source Sans Pro" w:cs="Source Sans Pro"/>
          <w:color w:val="000000" w:themeColor="text1"/>
          <w:sz w:val="22"/>
          <w:szCs w:val="22"/>
        </w:rPr>
      </w:pPr>
      <w:r w:rsidRPr="377C88FB">
        <w:rPr>
          <w:rFonts w:ascii="Source Sans Pro" w:eastAsia="Source Sans Pro" w:hAnsi="Source Sans Pro" w:cs="Source Sans Pro"/>
          <w:b/>
          <w:bCs/>
          <w:color w:val="000000" w:themeColor="text1"/>
          <w:sz w:val="44"/>
          <w:szCs w:val="44"/>
          <w:lang w:val="en-US"/>
        </w:rPr>
        <w:t xml:space="preserve">Yorkshire Housing Role Profile         </w:t>
      </w:r>
      <w:r>
        <w:rPr>
          <w:noProof/>
        </w:rPr>
        <w:drawing>
          <wp:inline distT="0" distB="0" distL="0" distR="0" wp14:anchorId="3D6E4483" wp14:editId="418BFA18">
            <wp:extent cx="1828800" cy="571500"/>
            <wp:effectExtent l="0" t="0" r="0" b="0"/>
            <wp:docPr id="11608324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32493" name="Picture 1160832493"/>
                    <pic:cNvPicPr/>
                  </pic:nvPicPr>
                  <pic:blipFill>
                    <a:blip r:embed="rId5">
                      <a:extLst>
                        <a:ext uri="{28A0092B-C50C-407E-A947-70E740481C1C}">
                          <a14:useLocalDpi xmlns:a14="http://schemas.microsoft.com/office/drawing/2010/main"/>
                        </a:ext>
                      </a:extLst>
                    </a:blip>
                    <a:stretch>
                      <a:fillRect/>
                    </a:stretch>
                  </pic:blipFill>
                  <pic:spPr>
                    <a:xfrm>
                      <a:off x="0" y="0"/>
                      <a:ext cx="1828800" cy="571500"/>
                    </a:xfrm>
                    <a:prstGeom prst="rect">
                      <a:avLst/>
                    </a:prstGeom>
                  </pic:spPr>
                </pic:pic>
              </a:graphicData>
            </a:graphic>
          </wp:inline>
        </w:drawing>
      </w:r>
    </w:p>
    <w:p w14:paraId="41322103" w14:textId="17FAFC67" w:rsidR="007E0A5F" w:rsidRDefault="007E0A5F" w:rsidP="377C88FB">
      <w:pPr>
        <w:spacing w:line="276" w:lineRule="auto"/>
        <w:jc w:val="both"/>
        <w:rPr>
          <w:rFonts w:ascii="Source Sans Pro" w:eastAsia="Source Sans Pro" w:hAnsi="Source Sans Pro" w:cs="Source Sans Pro"/>
          <w:color w:val="000000" w:themeColor="text1"/>
          <w:sz w:val="22"/>
          <w:szCs w:val="22"/>
        </w:rPr>
      </w:pPr>
    </w:p>
    <w:tbl>
      <w:tblPr>
        <w:tblStyle w:val="TableGrid"/>
        <w:tblW w:w="96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15"/>
        <w:gridCol w:w="3105"/>
        <w:gridCol w:w="1980"/>
        <w:gridCol w:w="2100"/>
      </w:tblGrid>
      <w:tr w:rsidR="377C88FB" w14:paraId="7AA21CFD" w14:textId="77777777" w:rsidTr="2C860116">
        <w:trPr>
          <w:trHeight w:val="300"/>
        </w:trPr>
        <w:tc>
          <w:tcPr>
            <w:tcW w:w="2415" w:type="dxa"/>
            <w:shd w:val="clear" w:color="auto" w:fill="D9D9D9" w:themeFill="background1" w:themeFillShade="D9"/>
            <w:tcMar>
              <w:left w:w="105" w:type="dxa"/>
              <w:right w:w="105" w:type="dxa"/>
            </w:tcMar>
          </w:tcPr>
          <w:p w14:paraId="63602B8C" w14:textId="62BDC616"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Job title:</w:t>
            </w:r>
          </w:p>
        </w:tc>
        <w:tc>
          <w:tcPr>
            <w:tcW w:w="3105" w:type="dxa"/>
            <w:tcMar>
              <w:left w:w="105" w:type="dxa"/>
              <w:right w:w="105" w:type="dxa"/>
            </w:tcMar>
          </w:tcPr>
          <w:p w14:paraId="7E4E3E74" w14:textId="475EA383" w:rsidR="0644FC12" w:rsidRDefault="0644FC12" w:rsidP="2C860116">
            <w:pPr>
              <w:spacing w:line="300" w:lineRule="auto"/>
              <w:jc w:val="both"/>
              <w:rPr>
                <w:rFonts w:ascii="Segoe UI" w:eastAsia="Segoe UI" w:hAnsi="Segoe UI" w:cs="Segoe UI"/>
                <w:sz w:val="21"/>
                <w:szCs w:val="21"/>
                <w:lang w:val="en-US"/>
              </w:rPr>
            </w:pPr>
            <w:r w:rsidRPr="2C860116">
              <w:rPr>
                <w:rFonts w:ascii="Segoe UI" w:eastAsia="Segoe UI" w:hAnsi="Segoe UI" w:cs="Segoe UI"/>
                <w:sz w:val="21"/>
                <w:szCs w:val="21"/>
                <w:lang w:val="en-US"/>
              </w:rPr>
              <w:t xml:space="preserve">Senior </w:t>
            </w:r>
            <w:r w:rsidR="740EF85B" w:rsidRPr="2C860116">
              <w:rPr>
                <w:rFonts w:ascii="Segoe UI" w:eastAsia="Segoe UI" w:hAnsi="Segoe UI" w:cs="Segoe UI"/>
                <w:sz w:val="21"/>
                <w:szCs w:val="21"/>
                <w:lang w:val="en-US"/>
              </w:rPr>
              <w:t>Income</w:t>
            </w:r>
            <w:r w:rsidRPr="2C860116">
              <w:rPr>
                <w:rFonts w:ascii="Segoe UI" w:eastAsia="Segoe UI" w:hAnsi="Segoe UI" w:cs="Segoe UI"/>
                <w:sz w:val="21"/>
                <w:szCs w:val="21"/>
                <w:lang w:val="en-US"/>
              </w:rPr>
              <w:t xml:space="preserve"> </w:t>
            </w:r>
            <w:r w:rsidR="505CB992" w:rsidRPr="2C860116">
              <w:rPr>
                <w:rFonts w:ascii="Segoe UI" w:eastAsia="Segoe UI" w:hAnsi="Segoe UI" w:cs="Segoe UI"/>
                <w:sz w:val="21"/>
                <w:szCs w:val="21"/>
                <w:lang w:val="en-US"/>
              </w:rPr>
              <w:t>and</w:t>
            </w:r>
            <w:r w:rsidRPr="2C860116">
              <w:rPr>
                <w:rFonts w:ascii="Segoe UI" w:eastAsia="Segoe UI" w:hAnsi="Segoe UI" w:cs="Segoe UI"/>
                <w:sz w:val="21"/>
                <w:szCs w:val="21"/>
                <w:lang w:val="en-US"/>
              </w:rPr>
              <w:t xml:space="preserve"> Advice Officer (Vulnerable Customers)</w:t>
            </w:r>
          </w:p>
          <w:p w14:paraId="3AE1BFB4" w14:textId="5A36E95D" w:rsidR="377C88FB" w:rsidRDefault="377C88FB" w:rsidP="377C88FB">
            <w:pPr>
              <w:spacing w:before="60" w:after="60"/>
              <w:jc w:val="both"/>
              <w:rPr>
                <w:rFonts w:ascii="Source Sans Pro" w:eastAsia="Source Sans Pro" w:hAnsi="Source Sans Pro" w:cs="Source Sans Pro"/>
                <w:sz w:val="22"/>
                <w:szCs w:val="22"/>
                <w:lang w:val="en-US"/>
              </w:rPr>
            </w:pPr>
          </w:p>
        </w:tc>
        <w:tc>
          <w:tcPr>
            <w:tcW w:w="1980" w:type="dxa"/>
            <w:shd w:val="clear" w:color="auto" w:fill="D9D9D9" w:themeFill="background1" w:themeFillShade="D9"/>
            <w:tcMar>
              <w:left w:w="105" w:type="dxa"/>
              <w:right w:w="105" w:type="dxa"/>
            </w:tcMar>
          </w:tcPr>
          <w:p w14:paraId="0D3ADF69" w14:textId="20076089"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Leader of others:</w:t>
            </w:r>
          </w:p>
        </w:tc>
        <w:tc>
          <w:tcPr>
            <w:tcW w:w="2100" w:type="dxa"/>
            <w:tcMar>
              <w:left w:w="105" w:type="dxa"/>
              <w:right w:w="105" w:type="dxa"/>
            </w:tcMar>
          </w:tcPr>
          <w:p w14:paraId="0FF4311E" w14:textId="35BB46A3"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No</w:t>
            </w:r>
          </w:p>
        </w:tc>
      </w:tr>
      <w:tr w:rsidR="377C88FB" w14:paraId="582A1F2B" w14:textId="77777777" w:rsidTr="2C860116">
        <w:trPr>
          <w:trHeight w:val="300"/>
        </w:trPr>
        <w:tc>
          <w:tcPr>
            <w:tcW w:w="2415" w:type="dxa"/>
            <w:shd w:val="clear" w:color="auto" w:fill="D9D9D9" w:themeFill="background1" w:themeFillShade="D9"/>
            <w:tcMar>
              <w:left w:w="105" w:type="dxa"/>
              <w:right w:w="105" w:type="dxa"/>
            </w:tcMar>
          </w:tcPr>
          <w:p w14:paraId="37952573" w14:textId="29F5554F"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Reports to:</w:t>
            </w:r>
          </w:p>
        </w:tc>
        <w:tc>
          <w:tcPr>
            <w:tcW w:w="3105" w:type="dxa"/>
            <w:tcMar>
              <w:left w:w="105" w:type="dxa"/>
              <w:right w:w="105" w:type="dxa"/>
            </w:tcMar>
          </w:tcPr>
          <w:p w14:paraId="226FB57A" w14:textId="411053D1" w:rsidR="377C88FB" w:rsidRDefault="377C88FB" w:rsidP="2C860116">
            <w:pPr>
              <w:spacing w:before="60" w:after="60"/>
              <w:jc w:val="both"/>
              <w:rPr>
                <w:rFonts w:ascii="Source Sans Pro" w:eastAsia="Source Sans Pro" w:hAnsi="Source Sans Pro" w:cs="Source Sans Pro"/>
                <w:sz w:val="22"/>
                <w:szCs w:val="22"/>
              </w:rPr>
            </w:pPr>
            <w:r w:rsidRPr="2C860116">
              <w:rPr>
                <w:rFonts w:ascii="Source Sans Pro" w:eastAsia="Source Sans Pro" w:hAnsi="Source Sans Pro" w:cs="Source Sans Pro"/>
                <w:sz w:val="22"/>
                <w:szCs w:val="22"/>
              </w:rPr>
              <w:t>Team Manager (</w:t>
            </w:r>
            <w:r w:rsidR="5385A8F3" w:rsidRPr="2C860116">
              <w:rPr>
                <w:rFonts w:ascii="Source Sans Pro" w:eastAsia="Source Sans Pro" w:hAnsi="Source Sans Pro" w:cs="Source Sans Pro"/>
                <w:sz w:val="22"/>
                <w:szCs w:val="22"/>
              </w:rPr>
              <w:t>Income</w:t>
            </w:r>
            <w:r w:rsidRPr="2C860116">
              <w:rPr>
                <w:rFonts w:ascii="Source Sans Pro" w:eastAsia="Source Sans Pro" w:hAnsi="Source Sans Pro" w:cs="Source Sans Pro"/>
                <w:sz w:val="22"/>
                <w:szCs w:val="22"/>
              </w:rPr>
              <w:t xml:space="preserve"> and Advice)</w:t>
            </w:r>
          </w:p>
        </w:tc>
        <w:tc>
          <w:tcPr>
            <w:tcW w:w="1980" w:type="dxa"/>
            <w:shd w:val="clear" w:color="auto" w:fill="D9D9D9" w:themeFill="background1" w:themeFillShade="D9"/>
            <w:tcMar>
              <w:left w:w="105" w:type="dxa"/>
              <w:right w:w="105" w:type="dxa"/>
            </w:tcMar>
          </w:tcPr>
          <w:p w14:paraId="4F23F430" w14:textId="6D0F5E1C"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Contract type:</w:t>
            </w:r>
          </w:p>
        </w:tc>
        <w:tc>
          <w:tcPr>
            <w:tcW w:w="2100" w:type="dxa"/>
            <w:tcMar>
              <w:left w:w="105" w:type="dxa"/>
              <w:right w:w="105" w:type="dxa"/>
            </w:tcMar>
          </w:tcPr>
          <w:p w14:paraId="76869FEB" w14:textId="195B209B"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Agile</w:t>
            </w:r>
            <w:r w:rsidR="00776698">
              <w:rPr>
                <w:rFonts w:ascii="Source Sans Pro" w:eastAsia="Source Sans Pro" w:hAnsi="Source Sans Pro" w:cs="Source Sans Pro"/>
                <w:sz w:val="22"/>
                <w:szCs w:val="22"/>
                <w:lang w:val="en-US"/>
              </w:rPr>
              <w:t xml:space="preserve"> </w:t>
            </w:r>
            <w:r w:rsidRPr="377C88FB">
              <w:rPr>
                <w:rFonts w:ascii="Source Sans Pro" w:eastAsia="Source Sans Pro" w:hAnsi="Source Sans Pro" w:cs="Source Sans Pro"/>
                <w:sz w:val="22"/>
                <w:szCs w:val="22"/>
                <w:lang w:val="en-US"/>
              </w:rPr>
              <w:t>Homeworking</w:t>
            </w:r>
          </w:p>
        </w:tc>
      </w:tr>
      <w:tr w:rsidR="377C88FB" w14:paraId="79A5D748" w14:textId="77777777" w:rsidTr="2C860116">
        <w:trPr>
          <w:trHeight w:val="300"/>
        </w:trPr>
        <w:tc>
          <w:tcPr>
            <w:tcW w:w="2415" w:type="dxa"/>
            <w:shd w:val="clear" w:color="auto" w:fill="D9D9D9" w:themeFill="background1" w:themeFillShade="D9"/>
            <w:tcMar>
              <w:left w:w="105" w:type="dxa"/>
              <w:right w:w="105" w:type="dxa"/>
            </w:tcMar>
          </w:tcPr>
          <w:p w14:paraId="04238AD8" w14:textId="3EDBF5A2"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Business area:</w:t>
            </w:r>
          </w:p>
        </w:tc>
        <w:tc>
          <w:tcPr>
            <w:tcW w:w="3105" w:type="dxa"/>
            <w:tcMar>
              <w:left w:w="105" w:type="dxa"/>
              <w:right w:w="105" w:type="dxa"/>
            </w:tcMar>
          </w:tcPr>
          <w:p w14:paraId="4FC3A0A2" w14:textId="7C182751"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rPr>
              <w:t>Customer Channels</w:t>
            </w:r>
          </w:p>
        </w:tc>
        <w:tc>
          <w:tcPr>
            <w:tcW w:w="1980" w:type="dxa"/>
            <w:shd w:val="clear" w:color="auto" w:fill="D9D9D9" w:themeFill="background1" w:themeFillShade="D9"/>
            <w:tcMar>
              <w:left w:w="105" w:type="dxa"/>
              <w:right w:w="105" w:type="dxa"/>
            </w:tcMar>
          </w:tcPr>
          <w:p w14:paraId="6AC56283" w14:textId="7FDD75AA"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Car allowance:</w:t>
            </w:r>
          </w:p>
        </w:tc>
        <w:tc>
          <w:tcPr>
            <w:tcW w:w="2100" w:type="dxa"/>
            <w:tcMar>
              <w:left w:w="105" w:type="dxa"/>
              <w:right w:w="105" w:type="dxa"/>
            </w:tcMar>
          </w:tcPr>
          <w:p w14:paraId="0DACB2C9" w14:textId="58F7900D"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No</w:t>
            </w:r>
          </w:p>
        </w:tc>
      </w:tr>
      <w:tr w:rsidR="377C88FB" w14:paraId="263374DB" w14:textId="77777777" w:rsidTr="2C860116">
        <w:trPr>
          <w:trHeight w:val="300"/>
        </w:trPr>
        <w:tc>
          <w:tcPr>
            <w:tcW w:w="2415" w:type="dxa"/>
            <w:shd w:val="clear" w:color="auto" w:fill="D9D9D9" w:themeFill="background1" w:themeFillShade="D9"/>
            <w:tcMar>
              <w:left w:w="105" w:type="dxa"/>
              <w:right w:w="105" w:type="dxa"/>
            </w:tcMar>
          </w:tcPr>
          <w:p w14:paraId="2747AD0F" w14:textId="589FDEB1"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Budget holder:</w:t>
            </w:r>
          </w:p>
        </w:tc>
        <w:tc>
          <w:tcPr>
            <w:tcW w:w="3105" w:type="dxa"/>
            <w:tcMar>
              <w:left w:w="105" w:type="dxa"/>
              <w:right w:w="105" w:type="dxa"/>
            </w:tcMar>
          </w:tcPr>
          <w:p w14:paraId="5E5D019B" w14:textId="7FFB25F9"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No</w:t>
            </w:r>
          </w:p>
        </w:tc>
        <w:tc>
          <w:tcPr>
            <w:tcW w:w="1980" w:type="dxa"/>
            <w:shd w:val="clear" w:color="auto" w:fill="D9D9D9" w:themeFill="background1" w:themeFillShade="D9"/>
            <w:tcMar>
              <w:left w:w="105" w:type="dxa"/>
              <w:right w:w="105" w:type="dxa"/>
            </w:tcMar>
          </w:tcPr>
          <w:p w14:paraId="4C0D742A" w14:textId="16B99658"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DBS required:</w:t>
            </w:r>
          </w:p>
        </w:tc>
        <w:tc>
          <w:tcPr>
            <w:tcW w:w="2100" w:type="dxa"/>
            <w:tcMar>
              <w:left w:w="105" w:type="dxa"/>
              <w:right w:w="105" w:type="dxa"/>
            </w:tcMar>
          </w:tcPr>
          <w:p w14:paraId="55319A66" w14:textId="4CD7AB41"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No</w:t>
            </w:r>
          </w:p>
        </w:tc>
      </w:tr>
    </w:tbl>
    <w:p w14:paraId="1CA8E501" w14:textId="3833A6C5" w:rsidR="007E0A5F" w:rsidRDefault="007E0A5F" w:rsidP="377C88FB">
      <w:pPr>
        <w:jc w:val="both"/>
        <w:rPr>
          <w:rFonts w:ascii="Source Sans Pro" w:eastAsia="Source Sans Pro" w:hAnsi="Source Sans Pro" w:cs="Source Sans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77C88FB" w14:paraId="2071D8BE" w14:textId="77777777" w:rsidTr="377C88FB">
        <w:trPr>
          <w:trHeight w:val="300"/>
        </w:trPr>
        <w:tc>
          <w:tcPr>
            <w:tcW w:w="9615" w:type="dxa"/>
            <w:shd w:val="clear" w:color="auto" w:fill="404040" w:themeFill="text1" w:themeFillTint="BF"/>
            <w:tcMar>
              <w:left w:w="105" w:type="dxa"/>
              <w:right w:w="105" w:type="dxa"/>
            </w:tcMar>
          </w:tcPr>
          <w:p w14:paraId="62406DFB" w14:textId="437DF057" w:rsidR="377C88FB" w:rsidRDefault="377C88FB" w:rsidP="377C88FB">
            <w:pPr>
              <w:spacing w:before="60" w:after="60"/>
              <w:jc w:val="both"/>
              <w:rPr>
                <w:rFonts w:ascii="Source Sans Pro" w:eastAsia="Source Sans Pro" w:hAnsi="Source Sans Pro" w:cs="Source Sans Pro"/>
                <w:color w:val="FFFFFF" w:themeColor="background1"/>
                <w:sz w:val="22"/>
                <w:szCs w:val="22"/>
              </w:rPr>
            </w:pPr>
            <w:r w:rsidRPr="377C88FB">
              <w:rPr>
                <w:rFonts w:ascii="Source Sans Pro" w:eastAsia="Source Sans Pro" w:hAnsi="Source Sans Pro" w:cs="Source Sans Pro"/>
                <w:b/>
                <w:bCs/>
                <w:color w:val="FFFFFF" w:themeColor="background1"/>
                <w:sz w:val="22"/>
                <w:szCs w:val="22"/>
                <w:lang w:val="en-US"/>
              </w:rPr>
              <w:t>Job purpose</w:t>
            </w:r>
          </w:p>
        </w:tc>
      </w:tr>
      <w:tr w:rsidR="377C88FB" w14:paraId="5E2B3314" w14:textId="77777777" w:rsidTr="377C88FB">
        <w:trPr>
          <w:trHeight w:val="300"/>
        </w:trPr>
        <w:tc>
          <w:tcPr>
            <w:tcW w:w="9615" w:type="dxa"/>
            <w:tcMar>
              <w:left w:w="105" w:type="dxa"/>
              <w:right w:w="105" w:type="dxa"/>
            </w:tcMar>
          </w:tcPr>
          <w:p w14:paraId="56E7F41F" w14:textId="2492CEE7" w:rsidR="377C88FB" w:rsidRDefault="377C88FB" w:rsidP="377C88FB">
            <w:pPr>
              <w:rPr>
                <w:rFonts w:ascii="Source Sans Pro" w:eastAsia="Source Sans Pro" w:hAnsi="Source Sans Pro" w:cs="Source Sans Pro"/>
                <w:color w:val="000000" w:themeColor="text1"/>
                <w:sz w:val="22"/>
                <w:szCs w:val="22"/>
              </w:rPr>
            </w:pPr>
            <w:r w:rsidRPr="377C88FB">
              <w:rPr>
                <w:rFonts w:ascii="Source Sans Pro" w:eastAsia="Source Sans Pro" w:hAnsi="Source Sans Pro" w:cs="Source Sans Pro"/>
                <w:color w:val="000000" w:themeColor="text1"/>
                <w:sz w:val="22"/>
                <w:szCs w:val="22"/>
                <w:lang w:val="en-US"/>
              </w:rPr>
              <w:t>This is a customer-facing role focused on reactive &amp; proactive, phone-based engagement to recover income owed to Yorkshire Housing, support financial wellbeing, and deliver practical benefit advice. The role combines income collection with financial capability building, ensuring customers receive tailored advice and solutions to sustain tenancies, improve resilience, and access benefits they are entitled to. It also includes responsibility for collecting all money owed to Yorkshire Housing, such as rent, rechargeable repairs, and former tenant arrears.</w:t>
            </w:r>
          </w:p>
          <w:p w14:paraId="5B36946B" w14:textId="130B7320" w:rsidR="377C88FB" w:rsidRDefault="377C88FB" w:rsidP="377C88FB">
            <w:pPr>
              <w:rPr>
                <w:rFonts w:ascii="Cambria" w:eastAsia="Cambria" w:hAnsi="Cambria" w:cs="Cambria"/>
                <w:color w:val="000000" w:themeColor="text1"/>
              </w:rPr>
            </w:pPr>
          </w:p>
          <w:p w14:paraId="650BC1BC" w14:textId="73A85471" w:rsidR="377C88FB" w:rsidRDefault="377C88FB" w:rsidP="377C88FB">
            <w:pPr>
              <w:rPr>
                <w:rFonts w:ascii="Source Sans Pro" w:eastAsia="Source Sans Pro" w:hAnsi="Source Sans Pro" w:cs="Source Sans Pro"/>
                <w:color w:val="000000" w:themeColor="text1"/>
                <w:sz w:val="22"/>
                <w:szCs w:val="22"/>
              </w:rPr>
            </w:pPr>
            <w:r w:rsidRPr="377C88FB">
              <w:rPr>
                <w:rFonts w:ascii="Source Sans Pro" w:eastAsia="Source Sans Pro" w:hAnsi="Source Sans Pro" w:cs="Source Sans Pro"/>
                <w:color w:val="000000" w:themeColor="text1"/>
                <w:sz w:val="22"/>
                <w:szCs w:val="22"/>
                <w:lang w:val="en-US"/>
              </w:rPr>
              <w:t>The post holder will also promote financial responsibility initiatives, such as Rent on Time, and proactively identifying and supporting vulnerable customers by connecting them with appropriate external resources to help them sustain their tenancies and improve their overall financial resilience.</w:t>
            </w:r>
          </w:p>
          <w:p w14:paraId="70B2D567" w14:textId="483B7566" w:rsidR="377C88FB" w:rsidRDefault="377C88FB" w:rsidP="377C88FB">
            <w:pPr>
              <w:rPr>
                <w:rFonts w:ascii="Source Sans Pro" w:eastAsia="Source Sans Pro" w:hAnsi="Source Sans Pro" w:cs="Source Sans Pro"/>
                <w:color w:val="000000" w:themeColor="text1"/>
                <w:sz w:val="22"/>
                <w:szCs w:val="22"/>
                <w:lang w:val="en-US"/>
              </w:rPr>
            </w:pPr>
          </w:p>
          <w:p w14:paraId="2AF232B8" w14:textId="722EFE3A" w:rsidR="59542CED" w:rsidRDefault="59542CED" w:rsidP="377C88FB">
            <w:pPr>
              <w:rPr>
                <w:rFonts w:ascii="Source Sans Pro" w:eastAsia="Source Sans Pro" w:hAnsi="Source Sans Pro" w:cs="Source Sans Pro"/>
                <w:color w:val="000000" w:themeColor="text1"/>
                <w:sz w:val="22"/>
                <w:szCs w:val="22"/>
                <w:lang w:val="en-US"/>
              </w:rPr>
            </w:pPr>
            <w:r w:rsidRPr="377C88FB">
              <w:rPr>
                <w:rFonts w:ascii="Source Sans Pro" w:eastAsia="Source Sans Pro" w:hAnsi="Source Sans Pro" w:cs="Source Sans Pro"/>
                <w:color w:val="000000" w:themeColor="text1"/>
                <w:sz w:val="22"/>
                <w:szCs w:val="22"/>
                <w:lang w:val="en-US"/>
              </w:rPr>
              <w:t>In addition, the post holder will provide enhance</w:t>
            </w:r>
            <w:r w:rsidR="274AF382" w:rsidRPr="377C88FB">
              <w:rPr>
                <w:rFonts w:ascii="Source Sans Pro" w:eastAsia="Source Sans Pro" w:hAnsi="Source Sans Pro" w:cs="Source Sans Pro"/>
                <w:color w:val="000000" w:themeColor="text1"/>
                <w:sz w:val="22"/>
                <w:szCs w:val="22"/>
                <w:lang w:val="en-US"/>
              </w:rPr>
              <w:t>d</w:t>
            </w:r>
            <w:r w:rsidRPr="377C88FB">
              <w:rPr>
                <w:rFonts w:ascii="Source Sans Pro" w:eastAsia="Source Sans Pro" w:hAnsi="Source Sans Pro" w:cs="Source Sans Pro"/>
                <w:color w:val="000000" w:themeColor="text1"/>
                <w:sz w:val="22"/>
                <w:szCs w:val="22"/>
                <w:lang w:val="en-US"/>
              </w:rPr>
              <w:t xml:space="preserve"> support to customers who have limited or no support, family or friendship </w:t>
            </w:r>
            <w:r w:rsidR="0DEEC26B" w:rsidRPr="377C88FB">
              <w:rPr>
                <w:rFonts w:ascii="Source Sans Pro" w:eastAsia="Source Sans Pro" w:hAnsi="Source Sans Pro" w:cs="Source Sans Pro"/>
                <w:color w:val="000000" w:themeColor="text1"/>
                <w:sz w:val="22"/>
                <w:szCs w:val="22"/>
                <w:lang w:val="en-US"/>
              </w:rPr>
              <w:t>networks,</w:t>
            </w:r>
            <w:r w:rsidRPr="377C88FB">
              <w:rPr>
                <w:rFonts w:ascii="Source Sans Pro" w:eastAsia="Source Sans Pro" w:hAnsi="Source Sans Pro" w:cs="Source Sans Pro"/>
                <w:color w:val="000000" w:themeColor="text1"/>
                <w:sz w:val="22"/>
                <w:szCs w:val="22"/>
                <w:lang w:val="en-US"/>
              </w:rPr>
              <w:t xml:space="preserve"> and who require additional help to access benefits to </w:t>
            </w:r>
            <w:r w:rsidR="6689468A" w:rsidRPr="377C88FB">
              <w:rPr>
                <w:rFonts w:ascii="Source Sans Pro" w:eastAsia="Source Sans Pro" w:hAnsi="Source Sans Pro" w:cs="Source Sans Pro"/>
                <w:color w:val="000000" w:themeColor="text1"/>
                <w:sz w:val="22"/>
                <w:szCs w:val="22"/>
                <w:lang w:val="en-US"/>
              </w:rPr>
              <w:t>sustain</w:t>
            </w:r>
            <w:r w:rsidR="6EFC0481" w:rsidRPr="377C88FB">
              <w:rPr>
                <w:rFonts w:ascii="Source Sans Pro" w:eastAsia="Source Sans Pro" w:hAnsi="Source Sans Pro" w:cs="Source Sans Pro"/>
                <w:color w:val="000000" w:themeColor="text1"/>
                <w:sz w:val="22"/>
                <w:szCs w:val="22"/>
                <w:lang w:val="en-US"/>
              </w:rPr>
              <w:t xml:space="preserve"> their</w:t>
            </w:r>
            <w:r w:rsidR="6689468A" w:rsidRPr="377C88FB">
              <w:rPr>
                <w:rFonts w:ascii="Source Sans Pro" w:eastAsia="Source Sans Pro" w:hAnsi="Source Sans Pro" w:cs="Source Sans Pro"/>
                <w:color w:val="000000" w:themeColor="text1"/>
                <w:sz w:val="22"/>
                <w:szCs w:val="22"/>
                <w:lang w:val="en-US"/>
              </w:rPr>
              <w:t xml:space="preserve"> tenancy. </w:t>
            </w:r>
          </w:p>
          <w:p w14:paraId="4308CCA2" w14:textId="64090EBD" w:rsidR="377C88FB" w:rsidRDefault="377C88FB" w:rsidP="377C88FB">
            <w:pPr>
              <w:rPr>
                <w:rFonts w:ascii="Source Sans Pro" w:eastAsia="Source Sans Pro" w:hAnsi="Source Sans Pro" w:cs="Source Sans Pro"/>
                <w:color w:val="000000" w:themeColor="text1"/>
                <w:sz w:val="22"/>
                <w:szCs w:val="22"/>
                <w:lang w:val="en-US"/>
              </w:rPr>
            </w:pPr>
          </w:p>
          <w:p w14:paraId="3738DA99" w14:textId="4C0D15BE" w:rsidR="6689468A" w:rsidRDefault="6689468A" w:rsidP="377C88FB">
            <w:pPr>
              <w:rPr>
                <w:rFonts w:ascii="Source Sans Pro" w:eastAsia="Source Sans Pro" w:hAnsi="Source Sans Pro" w:cs="Source Sans Pro"/>
                <w:color w:val="000000" w:themeColor="text1"/>
                <w:sz w:val="22"/>
                <w:szCs w:val="22"/>
                <w:lang w:val="en-US"/>
              </w:rPr>
            </w:pPr>
            <w:r w:rsidRPr="377C88FB">
              <w:rPr>
                <w:rFonts w:ascii="Source Sans Pro" w:eastAsia="Source Sans Pro" w:hAnsi="Source Sans Pro" w:cs="Source Sans Pro"/>
                <w:color w:val="000000" w:themeColor="text1"/>
                <w:sz w:val="22"/>
                <w:szCs w:val="22"/>
                <w:lang w:val="en-US"/>
              </w:rPr>
              <w:t xml:space="preserve">The post holder will proactively coach </w:t>
            </w:r>
            <w:r w:rsidR="3A8340B1" w:rsidRPr="377C88FB">
              <w:rPr>
                <w:rFonts w:ascii="Source Sans Pro" w:eastAsia="Source Sans Pro" w:hAnsi="Source Sans Pro" w:cs="Source Sans Pro"/>
                <w:color w:val="000000" w:themeColor="text1"/>
                <w:sz w:val="22"/>
                <w:szCs w:val="22"/>
                <w:lang w:val="en-US"/>
              </w:rPr>
              <w:t>customers</w:t>
            </w:r>
            <w:r w:rsidRPr="377C88FB">
              <w:rPr>
                <w:rFonts w:ascii="Source Sans Pro" w:eastAsia="Source Sans Pro" w:hAnsi="Source Sans Pro" w:cs="Source Sans Pro"/>
                <w:color w:val="000000" w:themeColor="text1"/>
                <w:sz w:val="22"/>
                <w:szCs w:val="22"/>
                <w:lang w:val="en-US"/>
              </w:rPr>
              <w:t xml:space="preserve"> to access and claim the correct benefits that directly impact their ability to pay rent</w:t>
            </w:r>
            <w:r w:rsidR="42553E61" w:rsidRPr="377C88FB">
              <w:rPr>
                <w:rFonts w:ascii="Source Sans Pro" w:eastAsia="Source Sans Pro" w:hAnsi="Source Sans Pro" w:cs="Source Sans Pro"/>
                <w:color w:val="000000" w:themeColor="text1"/>
                <w:sz w:val="22"/>
                <w:szCs w:val="22"/>
                <w:lang w:val="en-US"/>
              </w:rPr>
              <w:t xml:space="preserve">, clear arrears </w:t>
            </w:r>
            <w:r w:rsidRPr="377C88FB">
              <w:rPr>
                <w:rFonts w:ascii="Source Sans Pro" w:eastAsia="Source Sans Pro" w:hAnsi="Source Sans Pro" w:cs="Source Sans Pro"/>
                <w:color w:val="000000" w:themeColor="text1"/>
                <w:sz w:val="22"/>
                <w:szCs w:val="22"/>
                <w:lang w:val="en-US"/>
              </w:rPr>
              <w:t>and meet their</w:t>
            </w:r>
            <w:r w:rsidR="2B7B196F" w:rsidRPr="377C88FB">
              <w:rPr>
                <w:rFonts w:ascii="Source Sans Pro" w:eastAsia="Source Sans Pro" w:hAnsi="Source Sans Pro" w:cs="Source Sans Pro"/>
                <w:color w:val="000000" w:themeColor="text1"/>
                <w:sz w:val="22"/>
                <w:szCs w:val="22"/>
                <w:lang w:val="en-US"/>
              </w:rPr>
              <w:t xml:space="preserve"> financial </w:t>
            </w:r>
            <w:r w:rsidRPr="377C88FB">
              <w:rPr>
                <w:rFonts w:ascii="Source Sans Pro" w:eastAsia="Source Sans Pro" w:hAnsi="Source Sans Pro" w:cs="Source Sans Pro"/>
                <w:color w:val="000000" w:themeColor="text1"/>
                <w:sz w:val="22"/>
                <w:szCs w:val="22"/>
                <w:lang w:val="en-US"/>
              </w:rPr>
              <w:t>obligations as Yorkshire Housing customers. This includes providing practi</w:t>
            </w:r>
            <w:r w:rsidR="3A35AE04" w:rsidRPr="377C88FB">
              <w:rPr>
                <w:rFonts w:ascii="Source Sans Pro" w:eastAsia="Source Sans Pro" w:hAnsi="Source Sans Pro" w:cs="Source Sans Pro"/>
                <w:color w:val="000000" w:themeColor="text1"/>
                <w:sz w:val="22"/>
                <w:szCs w:val="22"/>
                <w:lang w:val="en-US"/>
              </w:rPr>
              <w:t>c</w:t>
            </w:r>
            <w:r w:rsidRPr="377C88FB">
              <w:rPr>
                <w:rFonts w:ascii="Source Sans Pro" w:eastAsia="Source Sans Pro" w:hAnsi="Source Sans Pro" w:cs="Source Sans Pro"/>
                <w:color w:val="000000" w:themeColor="text1"/>
                <w:sz w:val="22"/>
                <w:szCs w:val="22"/>
                <w:lang w:val="en-US"/>
              </w:rPr>
              <w:t>al, landlord-appropriate benefit guidance</w:t>
            </w:r>
            <w:r w:rsidR="0D4A93F2" w:rsidRPr="377C88FB">
              <w:rPr>
                <w:rFonts w:ascii="Source Sans Pro" w:eastAsia="Source Sans Pro" w:hAnsi="Source Sans Pro" w:cs="Source Sans Pro"/>
                <w:color w:val="000000" w:themeColor="text1"/>
                <w:sz w:val="22"/>
                <w:szCs w:val="22"/>
                <w:lang w:val="en-US"/>
              </w:rPr>
              <w:t xml:space="preserve"> </w:t>
            </w:r>
            <w:r w:rsidR="63AC6A82" w:rsidRPr="377C88FB">
              <w:rPr>
                <w:rFonts w:ascii="Source Sans Pro" w:eastAsia="Source Sans Pro" w:hAnsi="Source Sans Pro" w:cs="Source Sans Pro"/>
                <w:color w:val="000000" w:themeColor="text1"/>
                <w:sz w:val="22"/>
                <w:szCs w:val="22"/>
                <w:lang w:val="en-US"/>
              </w:rPr>
              <w:t>and</w:t>
            </w:r>
            <w:r w:rsidR="0D4A93F2" w:rsidRPr="377C88FB">
              <w:rPr>
                <w:rFonts w:ascii="Source Sans Pro" w:eastAsia="Source Sans Pro" w:hAnsi="Source Sans Pro" w:cs="Source Sans Pro"/>
                <w:color w:val="000000" w:themeColor="text1"/>
                <w:sz w:val="22"/>
                <w:szCs w:val="22"/>
                <w:lang w:val="en-US"/>
              </w:rPr>
              <w:t xml:space="preserve"> </w:t>
            </w:r>
            <w:r w:rsidRPr="377C88FB">
              <w:rPr>
                <w:rFonts w:ascii="Source Sans Pro" w:eastAsia="Source Sans Pro" w:hAnsi="Source Sans Pro" w:cs="Source Sans Pro"/>
                <w:color w:val="000000" w:themeColor="text1"/>
                <w:sz w:val="22"/>
                <w:szCs w:val="22"/>
                <w:lang w:val="en-US"/>
              </w:rPr>
              <w:t xml:space="preserve">signposting, without crossing </w:t>
            </w:r>
            <w:r w:rsidR="607B2956" w:rsidRPr="377C88FB">
              <w:rPr>
                <w:rFonts w:ascii="Source Sans Pro" w:eastAsia="Source Sans Pro" w:hAnsi="Source Sans Pro" w:cs="Source Sans Pro"/>
                <w:color w:val="000000" w:themeColor="text1"/>
                <w:sz w:val="22"/>
                <w:szCs w:val="22"/>
                <w:lang w:val="en-US"/>
              </w:rPr>
              <w:t xml:space="preserve">into the remit of specialist external agencies, ensuring customers receive the right support at the right time. </w:t>
            </w:r>
          </w:p>
          <w:p w14:paraId="0013CB07" w14:textId="0E6B46AB" w:rsidR="377C88FB" w:rsidRDefault="377C88FB" w:rsidP="377C88FB">
            <w:pPr>
              <w:rPr>
                <w:rFonts w:ascii="Source Sans Pro" w:eastAsia="Source Sans Pro" w:hAnsi="Source Sans Pro" w:cs="Source Sans Pro"/>
                <w:color w:val="000000" w:themeColor="text1"/>
                <w:sz w:val="22"/>
                <w:szCs w:val="22"/>
                <w:lang w:val="en-US"/>
              </w:rPr>
            </w:pPr>
          </w:p>
          <w:p w14:paraId="3925A81E" w14:textId="4EDC0E98" w:rsidR="5341ADE4" w:rsidRDefault="5341ADE4" w:rsidP="377C88FB">
            <w:pPr>
              <w:rPr>
                <w:rFonts w:ascii="Source Sans Pro" w:eastAsia="Source Sans Pro" w:hAnsi="Source Sans Pro" w:cs="Source Sans Pro"/>
                <w:color w:val="000000" w:themeColor="text1"/>
                <w:sz w:val="22"/>
                <w:szCs w:val="22"/>
                <w:lang w:val="en-US"/>
              </w:rPr>
            </w:pPr>
            <w:r w:rsidRPr="377C88FB">
              <w:rPr>
                <w:rFonts w:ascii="Source Sans Pro" w:eastAsia="Source Sans Pro" w:hAnsi="Source Sans Pro" w:cs="Source Sans Pro"/>
                <w:color w:val="000000" w:themeColor="text1"/>
                <w:sz w:val="22"/>
                <w:szCs w:val="22"/>
                <w:lang w:val="en-US"/>
              </w:rPr>
              <w:t xml:space="preserve">By combining skilled income recovery with tailored benefit coaching for our most vulnerable customers, the role strengthens tenancy sustainability, reduces arrears, and supports Yorkshire Housing’s responsibilities as a social landlord. </w:t>
            </w:r>
          </w:p>
          <w:p w14:paraId="564AFBFA" w14:textId="1CE87A17" w:rsidR="377C88FB" w:rsidRDefault="377C88FB" w:rsidP="377C88FB">
            <w:pPr>
              <w:rPr>
                <w:rFonts w:ascii="Source Sans Pro" w:eastAsia="Source Sans Pro" w:hAnsi="Source Sans Pro" w:cs="Source Sans Pro"/>
                <w:sz w:val="22"/>
                <w:szCs w:val="22"/>
              </w:rPr>
            </w:pPr>
          </w:p>
        </w:tc>
      </w:tr>
    </w:tbl>
    <w:p w14:paraId="33EE7A5F" w14:textId="2D5AE6BD" w:rsidR="007E0A5F" w:rsidRDefault="007E0A5F" w:rsidP="377C88FB">
      <w:pPr>
        <w:jc w:val="both"/>
        <w:rPr>
          <w:rFonts w:ascii="Source Sans Pro" w:eastAsia="Source Sans Pro" w:hAnsi="Source Sans Pro" w:cs="Source Sans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77C88FB" w14:paraId="5ADEE25C" w14:textId="77777777" w:rsidTr="377C88FB">
        <w:trPr>
          <w:trHeight w:val="300"/>
        </w:trPr>
        <w:tc>
          <w:tcPr>
            <w:tcW w:w="9615" w:type="dxa"/>
            <w:shd w:val="clear" w:color="auto" w:fill="404040" w:themeFill="text1" w:themeFillTint="BF"/>
            <w:tcMar>
              <w:left w:w="105" w:type="dxa"/>
              <w:right w:w="105" w:type="dxa"/>
            </w:tcMar>
          </w:tcPr>
          <w:p w14:paraId="43B9445B" w14:textId="0AE77391" w:rsidR="377C88FB" w:rsidRDefault="377C88FB" w:rsidP="377C88FB">
            <w:pPr>
              <w:spacing w:before="60" w:after="60"/>
              <w:jc w:val="both"/>
              <w:rPr>
                <w:rFonts w:ascii="Source Sans Pro" w:eastAsia="Source Sans Pro" w:hAnsi="Source Sans Pro" w:cs="Source Sans Pro"/>
                <w:color w:val="FFFFFF" w:themeColor="background1"/>
                <w:sz w:val="22"/>
                <w:szCs w:val="22"/>
              </w:rPr>
            </w:pPr>
            <w:r w:rsidRPr="377C88FB">
              <w:rPr>
                <w:rFonts w:ascii="Source Sans Pro" w:eastAsia="Source Sans Pro" w:hAnsi="Source Sans Pro" w:cs="Source Sans Pro"/>
                <w:b/>
                <w:bCs/>
                <w:color w:val="FFFFFF" w:themeColor="background1"/>
                <w:sz w:val="22"/>
                <w:szCs w:val="22"/>
                <w:lang w:val="en-US"/>
              </w:rPr>
              <w:t>Key responsibilities</w:t>
            </w:r>
          </w:p>
        </w:tc>
      </w:tr>
      <w:tr w:rsidR="377C88FB" w14:paraId="52002213" w14:textId="77777777" w:rsidTr="377C88FB">
        <w:trPr>
          <w:trHeight w:val="300"/>
        </w:trPr>
        <w:tc>
          <w:tcPr>
            <w:tcW w:w="9615" w:type="dxa"/>
            <w:tcMar>
              <w:left w:w="105" w:type="dxa"/>
              <w:right w:w="105" w:type="dxa"/>
            </w:tcMar>
          </w:tcPr>
          <w:p w14:paraId="6D7E0345" w14:textId="1CA01AE2" w:rsidR="377C88FB" w:rsidRDefault="377C88FB" w:rsidP="377C88FB">
            <w:pPr>
              <w:rPr>
                <w:rFonts w:ascii="Source Sans Pro" w:eastAsia="Source Sans Pro" w:hAnsi="Source Sans Pro" w:cs="Source Sans Pro"/>
                <w:sz w:val="22"/>
                <w:szCs w:val="22"/>
              </w:rPr>
            </w:pPr>
          </w:p>
          <w:p w14:paraId="25112771" w14:textId="32019BE1" w:rsidR="377C88FB" w:rsidRDefault="377C88FB" w:rsidP="377C88FB">
            <w:pPr>
              <w:pStyle w:val="ListParagraph"/>
              <w:numPr>
                <w:ilvl w:val="0"/>
                <w:numId w:val="3"/>
              </w:numPr>
              <w:spacing w:line="300"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 xml:space="preserve">For colleagues working compressed hours, work may be carried out outside of customer phone line opening times, provided it remains within agreed core hours. </w:t>
            </w:r>
          </w:p>
          <w:p w14:paraId="67A32CE3" w14:textId="3CE19D08" w:rsidR="42F88FC0" w:rsidRDefault="42F88FC0"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Responsible for training and supporting colleagues with appropriate benefit guidance and updates suitable to sustaining tenancies.</w:t>
            </w:r>
          </w:p>
          <w:p w14:paraId="73EB6FC9" w14:textId="5B7167A9" w:rsidR="42F88FC0" w:rsidRDefault="42F88FC0" w:rsidP="377C88FB">
            <w:pPr>
              <w:pStyle w:val="ListParagraph"/>
              <w:numPr>
                <w:ilvl w:val="0"/>
                <w:numId w:val="3"/>
              </w:numPr>
              <w:spacing w:after="160"/>
              <w:rPr>
                <w:rFonts w:ascii="Source Sans Pro" w:eastAsia="Source Sans Pro" w:hAnsi="Source Sans Pro" w:cs="Source Sans Pro"/>
                <w:sz w:val="22"/>
                <w:szCs w:val="22"/>
                <w:lang w:val="en-US"/>
              </w:rPr>
            </w:pPr>
            <w:r w:rsidRPr="377C88FB">
              <w:rPr>
                <w:rFonts w:ascii="Source Sans Pro" w:eastAsia="Source Sans Pro" w:hAnsi="Source Sans Pro" w:cs="Source Sans Pro"/>
                <w:sz w:val="22"/>
                <w:szCs w:val="22"/>
                <w:lang w:val="en-US"/>
              </w:rPr>
              <w:t>Responsible for</w:t>
            </w:r>
            <w:r w:rsidR="0C76AE2A" w:rsidRPr="377C88FB">
              <w:rPr>
                <w:rFonts w:ascii="Source Sans Pro" w:eastAsia="Source Sans Pro" w:hAnsi="Source Sans Pro" w:cs="Source Sans Pro"/>
                <w:sz w:val="22"/>
                <w:szCs w:val="22"/>
                <w:lang w:val="en-US"/>
              </w:rPr>
              <w:t xml:space="preserve"> the</w:t>
            </w:r>
            <w:r w:rsidRPr="377C88FB">
              <w:rPr>
                <w:rFonts w:ascii="Source Sans Pro" w:eastAsia="Source Sans Pro" w:hAnsi="Source Sans Pro" w:cs="Source Sans Pro"/>
                <w:sz w:val="22"/>
                <w:szCs w:val="22"/>
                <w:lang w:val="en-US"/>
              </w:rPr>
              <w:t xml:space="preserve"> management of complex cases referred by colleagues acro</w:t>
            </w:r>
            <w:r w:rsidR="76687A63" w:rsidRPr="377C88FB">
              <w:rPr>
                <w:rFonts w:ascii="Source Sans Pro" w:eastAsia="Source Sans Pro" w:hAnsi="Source Sans Pro" w:cs="Source Sans Pro"/>
                <w:sz w:val="22"/>
                <w:szCs w:val="22"/>
                <w:lang w:val="en-US"/>
              </w:rPr>
              <w:t xml:space="preserve">ss Yorkshire Housing </w:t>
            </w:r>
            <w:r w:rsidR="18A5658C" w:rsidRPr="377C88FB">
              <w:rPr>
                <w:rFonts w:ascii="Source Sans Pro" w:eastAsia="Source Sans Pro" w:hAnsi="Source Sans Pro" w:cs="Source Sans Pro"/>
                <w:sz w:val="22"/>
                <w:szCs w:val="22"/>
                <w:lang w:val="en-US"/>
              </w:rPr>
              <w:t xml:space="preserve">to support vulnerable customers </w:t>
            </w:r>
            <w:r w:rsidR="3E894F80" w:rsidRPr="377C88FB">
              <w:rPr>
                <w:rFonts w:ascii="Source Sans Pro" w:eastAsia="Source Sans Pro" w:hAnsi="Source Sans Pro" w:cs="Source Sans Pro"/>
                <w:sz w:val="22"/>
                <w:szCs w:val="22"/>
                <w:lang w:val="en-US"/>
              </w:rPr>
              <w:t>in line with Yorkshire Housings Policies and Procedures.</w:t>
            </w:r>
          </w:p>
          <w:p w14:paraId="1A3409E3" w14:textId="1B69A5C9" w:rsidR="42F88FC0" w:rsidRDefault="42F88FC0"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 xml:space="preserve"> </w:t>
            </w:r>
            <w:r w:rsidR="377C88FB" w:rsidRPr="377C88FB">
              <w:rPr>
                <w:rFonts w:ascii="Source Sans Pro" w:eastAsia="Source Sans Pro" w:hAnsi="Source Sans Pro" w:cs="Source Sans Pro"/>
                <w:sz w:val="22"/>
                <w:szCs w:val="22"/>
                <w:lang w:val="en-US"/>
              </w:rPr>
              <w:t>Manage inbound and outbound calls as the main channel for resolving arrears, collecting other money owed to YH and providing financial support.</w:t>
            </w:r>
          </w:p>
          <w:p w14:paraId="4DE867C2" w14:textId="76515F3D"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Use Voicescape and other digital tools to maintain regular contact with customers.</w:t>
            </w:r>
          </w:p>
          <w:p w14:paraId="6A77EFB7" w14:textId="2679206F"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Negotiate affordable repayment plans and provide tailored support to help customers sustain tenancies.</w:t>
            </w:r>
          </w:p>
          <w:p w14:paraId="169E2EE5" w14:textId="1BD75788"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Assist customers in applying for benefits and accessing financial support schemes, ensuring they receive all eligible entitlements. Signpost to external agencies where more specialist support is required.</w:t>
            </w:r>
          </w:p>
          <w:p w14:paraId="1875CF1C" w14:textId="565EA4EE"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Promote initiatives such as Rent on Time and financial responsibility through education and support.</w:t>
            </w:r>
          </w:p>
          <w:p w14:paraId="50CB83A2" w14:textId="38CA5609"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Identify and support vulnerable customers, signposting to internal and external agencies where appropriate.</w:t>
            </w:r>
          </w:p>
          <w:p w14:paraId="61F7DCA9" w14:textId="144EFF47"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 xml:space="preserve">Collect all money owed to Yorkshire Housing, including current rent and service charges, rechargeable repairs and former tenant arrears. </w:t>
            </w:r>
          </w:p>
          <w:p w14:paraId="554A7FDB" w14:textId="2A7085B8"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Take pre-emptive steps to prevent arrears and escalate cases where necessary.</w:t>
            </w:r>
          </w:p>
          <w:p w14:paraId="4BED9FE1" w14:textId="157140A5"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Proactively identify cases where arrears cannot be resolved through engagement and support and prepare cases for legal escalation in line with Yorkshire Housing’s policies and procedures.</w:t>
            </w:r>
          </w:p>
          <w:p w14:paraId="0C8B55C4" w14:textId="38828877"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Manage communications from the Insolvency Service and other debt advisors regarding DROs, IVAs, and debt management plans, ensuring timely responses, accurate application to accounts, and clear communication with customers.</w:t>
            </w:r>
          </w:p>
          <w:p w14:paraId="01F3E9A9" w14:textId="2CD02CDE"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Participate in training such as safeguarding and keep up to date with best practice and legislative requirements.</w:t>
            </w:r>
          </w:p>
          <w:p w14:paraId="56756D7A" w14:textId="753B1B1C"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Recognise signs of vulnerability, abuse, or neglect, and take appropriate action by escalating concerns to the relevant internal teams or external agencies.</w:t>
            </w:r>
          </w:p>
          <w:p w14:paraId="67202D15" w14:textId="39EE0F26"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Accurately record all customer interactions and outcomes in relevant systems.</w:t>
            </w:r>
          </w:p>
          <w:p w14:paraId="6DE74FA7" w14:textId="28D4B84B"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Liaise with internal teams and external agencies to coordinate support and escalate complex cases.</w:t>
            </w:r>
          </w:p>
          <w:p w14:paraId="2791524B" w14:textId="4CCA80A1"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Monitor accounts and update records to ensure compliance with organisational and regulatory requirements.</w:t>
            </w:r>
          </w:p>
          <w:p w14:paraId="0CFD059F" w14:textId="45778873" w:rsidR="377C88FB" w:rsidRDefault="377C88FB" w:rsidP="377C88FB">
            <w:pPr>
              <w:pStyle w:val="ListParagraph"/>
              <w:numPr>
                <w:ilvl w:val="0"/>
                <w:numId w:val="3"/>
              </w:numPr>
              <w:spacing w:after="1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Contribute to continuous improvement by sharing feedback and best practice.</w:t>
            </w:r>
          </w:p>
          <w:p w14:paraId="20EC3454" w14:textId="5345B0D2" w:rsidR="377C88FB" w:rsidRDefault="377C88FB" w:rsidP="377C88FB">
            <w:pPr>
              <w:pStyle w:val="ListParagraph"/>
              <w:numPr>
                <w:ilvl w:val="0"/>
                <w:numId w:val="3"/>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 xml:space="preserve">Customer Opening Hours will be 9:00am – 5:00pm, Monday to Friday. Colleague core working hours will not extend beyond 8:00am – 6:00pm, Monday to Friday. These arrangements will be regularly reviewed to ensure we continue to meet customer needs and remain available at the times customers need us most. </w:t>
            </w:r>
          </w:p>
          <w:p w14:paraId="5A53EE61" w14:textId="5AD8E313" w:rsidR="377C88FB" w:rsidRDefault="377C88FB" w:rsidP="377C88FB">
            <w:pPr>
              <w:shd w:val="clear" w:color="auto" w:fill="FFFFFF" w:themeFill="background1"/>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As you can imagine, the above might not be all you’ll be responsible for in role, so you might be asked to take on some other key responsibilities if they’re suitable for your role.</w:t>
            </w:r>
          </w:p>
        </w:tc>
      </w:tr>
    </w:tbl>
    <w:p w14:paraId="74C9E1DE" w14:textId="022B59EE" w:rsidR="007E0A5F" w:rsidRDefault="007E0A5F" w:rsidP="377C88FB">
      <w:pPr>
        <w:jc w:val="both"/>
        <w:rPr>
          <w:rFonts w:ascii="Source Sans Pro" w:eastAsia="Source Sans Pro" w:hAnsi="Source Sans Pro" w:cs="Source Sans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377C88FB" w14:paraId="4BF9DF63" w14:textId="77777777" w:rsidTr="377C88FB">
        <w:trPr>
          <w:trHeight w:val="300"/>
        </w:trPr>
        <w:tc>
          <w:tcPr>
            <w:tcW w:w="9615" w:type="dxa"/>
            <w:shd w:val="clear" w:color="auto" w:fill="404040" w:themeFill="text1" w:themeFillTint="BF"/>
            <w:tcMar>
              <w:left w:w="105" w:type="dxa"/>
              <w:right w:w="105" w:type="dxa"/>
            </w:tcMar>
          </w:tcPr>
          <w:p w14:paraId="737875D5" w14:textId="61CFED3E" w:rsidR="377C88FB" w:rsidRDefault="377C88FB" w:rsidP="377C88FB">
            <w:pPr>
              <w:spacing w:before="60" w:after="60"/>
              <w:jc w:val="both"/>
              <w:rPr>
                <w:rFonts w:ascii="Source Sans Pro" w:eastAsia="Source Sans Pro" w:hAnsi="Source Sans Pro" w:cs="Source Sans Pro"/>
                <w:color w:val="FFFFFF" w:themeColor="background1"/>
                <w:sz w:val="22"/>
                <w:szCs w:val="22"/>
              </w:rPr>
            </w:pPr>
            <w:r w:rsidRPr="377C88FB">
              <w:rPr>
                <w:rFonts w:ascii="Source Sans Pro" w:eastAsia="Source Sans Pro" w:hAnsi="Source Sans Pro" w:cs="Source Sans Pro"/>
                <w:b/>
                <w:bCs/>
                <w:color w:val="FFFFFF" w:themeColor="background1"/>
                <w:sz w:val="22"/>
                <w:szCs w:val="22"/>
                <w:lang w:val="en-US"/>
              </w:rPr>
              <w:t>What you’ll bring to the role</w:t>
            </w:r>
          </w:p>
        </w:tc>
      </w:tr>
      <w:tr w:rsidR="377C88FB" w14:paraId="7EF4E265" w14:textId="77777777" w:rsidTr="377C88FB">
        <w:trPr>
          <w:trHeight w:val="300"/>
        </w:trPr>
        <w:tc>
          <w:tcPr>
            <w:tcW w:w="9615" w:type="dxa"/>
            <w:shd w:val="clear" w:color="auto" w:fill="D9D9D9" w:themeFill="background1" w:themeFillShade="D9"/>
            <w:tcMar>
              <w:left w:w="105" w:type="dxa"/>
              <w:right w:w="105" w:type="dxa"/>
            </w:tcMar>
          </w:tcPr>
          <w:p w14:paraId="10E55A6B" w14:textId="664184F1"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lastRenderedPageBreak/>
              <w:t>The main things:</w:t>
            </w:r>
          </w:p>
        </w:tc>
      </w:tr>
      <w:tr w:rsidR="377C88FB" w14:paraId="4E9C57C7" w14:textId="77777777" w:rsidTr="377C88FB">
        <w:trPr>
          <w:trHeight w:val="300"/>
        </w:trPr>
        <w:tc>
          <w:tcPr>
            <w:tcW w:w="9615" w:type="dxa"/>
            <w:tcMar>
              <w:left w:w="105" w:type="dxa"/>
              <w:right w:w="105" w:type="dxa"/>
            </w:tcMar>
          </w:tcPr>
          <w:p w14:paraId="0948E46A" w14:textId="37CC9987" w:rsidR="377C88FB" w:rsidRDefault="377C88FB" w:rsidP="377C88FB">
            <w:pPr>
              <w:rPr>
                <w:rFonts w:ascii="Source Sans Pro" w:eastAsia="Source Sans Pro" w:hAnsi="Source Sans Pro" w:cs="Source Sans Pro"/>
                <w:sz w:val="22"/>
                <w:szCs w:val="22"/>
              </w:rPr>
            </w:pPr>
          </w:p>
          <w:p w14:paraId="4E807229" w14:textId="7E0F8854"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Strong communication skills with the ability to build rapport and influence outcomes over the phone.</w:t>
            </w:r>
          </w:p>
          <w:p w14:paraId="44DEE6E7" w14:textId="57E73C8B"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Experience in income collection, financial support, or customer service roles.</w:t>
            </w:r>
          </w:p>
          <w:p w14:paraId="52197B0F" w14:textId="274CCB16"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Ability to manage challenging conversations with empathy and professionalism.</w:t>
            </w:r>
          </w:p>
          <w:p w14:paraId="7A2B66CE" w14:textId="059474EC"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Confident in using digital tools and systems for case management.</w:t>
            </w:r>
          </w:p>
          <w:p w14:paraId="27F8BE49" w14:textId="5452E04A"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Customer-obsessed with a phone-first approach.</w:t>
            </w:r>
          </w:p>
          <w:p w14:paraId="062173CD" w14:textId="2E0A03D8"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Resilient and solution-focused under pressure.</w:t>
            </w:r>
          </w:p>
          <w:p w14:paraId="2AB50684" w14:textId="42085059"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Collaborative and committed to supporting customers’ financial wellbeing.</w:t>
            </w:r>
          </w:p>
          <w:p w14:paraId="126583ED" w14:textId="219F90FE"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Expertise in evaluating and adapting to individual customer needs and adopting a personalised approach per customer.</w:t>
            </w:r>
          </w:p>
          <w:p w14:paraId="5463200E" w14:textId="63BF7531"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Confidence and expertise to resolve or support at first point of contact.</w:t>
            </w:r>
          </w:p>
          <w:p w14:paraId="1FD72C9F" w14:textId="720C1958"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Understanding of Housing Associations key regulatory frameworks, experience in ability to signpost customers appropriately for external support.</w:t>
            </w:r>
          </w:p>
          <w:p w14:paraId="2D5F3CC9" w14:textId="75485C27" w:rsidR="377C88FB" w:rsidRDefault="377C88FB" w:rsidP="377C88FB">
            <w:pPr>
              <w:pStyle w:val="ListParagraph"/>
              <w:numPr>
                <w:ilvl w:val="0"/>
                <w:numId w:val="2"/>
              </w:numPr>
              <w:spacing w:after="160" w:line="259" w:lineRule="auto"/>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Passion for collaborative working across Yorkshire Housing.</w:t>
            </w:r>
          </w:p>
          <w:p w14:paraId="79FDD418" w14:textId="4E599AC9" w:rsidR="377C88FB" w:rsidRDefault="377C88FB" w:rsidP="377C88FB">
            <w:pPr>
              <w:pStyle w:val="ListParagraph"/>
              <w:numPr>
                <w:ilvl w:val="0"/>
                <w:numId w:val="2"/>
              </w:numPr>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rPr>
              <w:t xml:space="preserve">Eagerness to develop own skills and adapt to change.  </w:t>
            </w:r>
          </w:p>
          <w:p w14:paraId="1B778388" w14:textId="4B5BA518" w:rsidR="377C88FB" w:rsidRDefault="377C88FB" w:rsidP="377C88FB">
            <w:pPr>
              <w:pStyle w:val="ListParagraph"/>
              <w:numPr>
                <w:ilvl w:val="0"/>
                <w:numId w:val="2"/>
              </w:numPr>
              <w:shd w:val="clear" w:color="auto" w:fill="FFFFFF" w:themeFill="background1"/>
              <w:rPr>
                <w:rFonts w:ascii="Source Sans Pro" w:eastAsia="Source Sans Pro" w:hAnsi="Source Sans Pro" w:cs="Source Sans Pro"/>
                <w:color w:val="000000" w:themeColor="text1"/>
                <w:sz w:val="22"/>
                <w:szCs w:val="22"/>
              </w:rPr>
            </w:pPr>
            <w:r w:rsidRPr="377C88FB">
              <w:rPr>
                <w:rFonts w:ascii="Source Sans Pro" w:eastAsia="Source Sans Pro" w:hAnsi="Source Sans Pro" w:cs="Source Sans Pro"/>
                <w:color w:val="000000" w:themeColor="text1"/>
                <w:sz w:val="22"/>
                <w:szCs w:val="22"/>
              </w:rPr>
              <w:t>Personal values and approach that align with YH’s values</w:t>
            </w:r>
          </w:p>
          <w:p w14:paraId="08AA3C5B" w14:textId="4157C7D8" w:rsidR="377C88FB" w:rsidRDefault="377C88FB" w:rsidP="377C88FB">
            <w:pPr>
              <w:pStyle w:val="ListParagraph"/>
              <w:numPr>
                <w:ilvl w:val="0"/>
                <w:numId w:val="2"/>
              </w:numPr>
              <w:shd w:val="clear" w:color="auto" w:fill="FFFFFF" w:themeFill="background1"/>
              <w:rPr>
                <w:rFonts w:ascii="Source Sans Pro" w:eastAsia="Source Sans Pro" w:hAnsi="Source Sans Pro" w:cs="Source Sans Pro"/>
                <w:color w:val="000000" w:themeColor="text1"/>
                <w:sz w:val="22"/>
                <w:szCs w:val="22"/>
              </w:rPr>
            </w:pPr>
            <w:r w:rsidRPr="377C88FB">
              <w:rPr>
                <w:rFonts w:ascii="Source Sans Pro" w:eastAsia="Source Sans Pro" w:hAnsi="Source Sans Pro" w:cs="Source Sans Pro"/>
                <w:color w:val="000000" w:themeColor="text1"/>
                <w:sz w:val="22"/>
                <w:szCs w:val="22"/>
                <w:lang w:val="en-US"/>
              </w:rPr>
              <w:t>Ability to work flexibly in line with Hub, Home and Roam principles and team requirements.</w:t>
            </w:r>
          </w:p>
          <w:p w14:paraId="326DBF17" w14:textId="35567839" w:rsidR="377C88FB" w:rsidRDefault="377C88FB" w:rsidP="377C88FB">
            <w:pPr>
              <w:pStyle w:val="ListParagraph"/>
              <w:numPr>
                <w:ilvl w:val="0"/>
                <w:numId w:val="2"/>
              </w:numPr>
              <w:shd w:val="clear" w:color="auto" w:fill="FFFFFF" w:themeFill="background1"/>
              <w:rPr>
                <w:rFonts w:ascii="Source Sans Pro" w:eastAsia="Source Sans Pro" w:hAnsi="Source Sans Pro" w:cs="Source Sans Pro"/>
                <w:color w:val="000000" w:themeColor="text1"/>
                <w:sz w:val="22"/>
                <w:szCs w:val="22"/>
              </w:rPr>
            </w:pPr>
            <w:r w:rsidRPr="377C88FB">
              <w:rPr>
                <w:rFonts w:ascii="Source Sans Pro" w:eastAsia="Source Sans Pro" w:hAnsi="Source Sans Pro" w:cs="Source Sans Pro"/>
                <w:color w:val="000000" w:themeColor="text1"/>
                <w:sz w:val="22"/>
                <w:szCs w:val="22"/>
                <w:lang w:val="en-US"/>
              </w:rPr>
              <w:t>An understanding of Equality, Diversity and Inclusivity and how this is applied through our service to customers and colleagues.</w:t>
            </w:r>
          </w:p>
          <w:p w14:paraId="279C12C5" w14:textId="21F74302" w:rsidR="377C88FB" w:rsidRDefault="377C88FB" w:rsidP="377C88FB">
            <w:pPr>
              <w:jc w:val="both"/>
              <w:rPr>
                <w:rFonts w:ascii="Source Sans Pro" w:eastAsia="Source Sans Pro" w:hAnsi="Source Sans Pro" w:cs="Source Sans Pro"/>
                <w:color w:val="000000" w:themeColor="text1"/>
                <w:sz w:val="22"/>
                <w:szCs w:val="22"/>
              </w:rPr>
            </w:pPr>
          </w:p>
        </w:tc>
      </w:tr>
      <w:tr w:rsidR="377C88FB" w14:paraId="4425A011" w14:textId="77777777" w:rsidTr="377C88FB">
        <w:trPr>
          <w:trHeight w:val="345"/>
        </w:trPr>
        <w:tc>
          <w:tcPr>
            <w:tcW w:w="9615" w:type="dxa"/>
            <w:shd w:val="clear" w:color="auto" w:fill="D9D9D9" w:themeFill="background1" w:themeFillShade="D9"/>
            <w:tcMar>
              <w:left w:w="105" w:type="dxa"/>
              <w:right w:w="105" w:type="dxa"/>
            </w:tcMar>
          </w:tcPr>
          <w:p w14:paraId="29CB02B3" w14:textId="104810DA" w:rsidR="377C88FB" w:rsidRDefault="377C88FB" w:rsidP="377C88FB">
            <w:pPr>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It would be a bonus if you have:</w:t>
            </w:r>
          </w:p>
        </w:tc>
      </w:tr>
      <w:tr w:rsidR="377C88FB" w14:paraId="0BCF191D" w14:textId="77777777" w:rsidTr="377C88FB">
        <w:trPr>
          <w:trHeight w:val="300"/>
        </w:trPr>
        <w:tc>
          <w:tcPr>
            <w:tcW w:w="9615" w:type="dxa"/>
            <w:tcMar>
              <w:left w:w="105" w:type="dxa"/>
              <w:right w:w="105" w:type="dxa"/>
            </w:tcMar>
          </w:tcPr>
          <w:p w14:paraId="2251D1BA" w14:textId="4E53622F" w:rsidR="377C88FB" w:rsidRDefault="377C88FB" w:rsidP="377C88FB">
            <w:pPr>
              <w:pStyle w:val="ListParagraph"/>
              <w:numPr>
                <w:ilvl w:val="0"/>
                <w:numId w:val="1"/>
              </w:numPr>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Experience in a similar role</w:t>
            </w:r>
          </w:p>
        </w:tc>
      </w:tr>
      <w:tr w:rsidR="377C88FB" w14:paraId="203ECD3F" w14:textId="77777777" w:rsidTr="377C88FB">
        <w:trPr>
          <w:trHeight w:val="300"/>
        </w:trPr>
        <w:tc>
          <w:tcPr>
            <w:tcW w:w="9615" w:type="dxa"/>
            <w:shd w:val="clear" w:color="auto" w:fill="D9D9D9" w:themeFill="background1" w:themeFillShade="D9"/>
            <w:tcMar>
              <w:left w:w="105" w:type="dxa"/>
              <w:right w:w="105" w:type="dxa"/>
            </w:tcMar>
          </w:tcPr>
          <w:p w14:paraId="0D8F2A6C" w14:textId="222F6086" w:rsidR="377C88FB" w:rsidRDefault="377C88FB" w:rsidP="377C88FB">
            <w:pPr>
              <w:spacing w:before="60" w:after="60"/>
              <w:jc w:val="both"/>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Our values:</w:t>
            </w:r>
          </w:p>
        </w:tc>
      </w:tr>
      <w:tr w:rsidR="377C88FB" w14:paraId="3A12BF34" w14:textId="77777777" w:rsidTr="377C88FB">
        <w:trPr>
          <w:trHeight w:val="300"/>
        </w:trPr>
        <w:tc>
          <w:tcPr>
            <w:tcW w:w="9615" w:type="dxa"/>
            <w:shd w:val="clear" w:color="auto" w:fill="FFFFFF" w:themeFill="background1"/>
            <w:tcMar>
              <w:left w:w="105" w:type="dxa"/>
              <w:right w:w="105" w:type="dxa"/>
            </w:tcMar>
          </w:tcPr>
          <w:p w14:paraId="14C71C0E" w14:textId="6EBF198F" w:rsidR="377C88FB" w:rsidRDefault="377C88FB" w:rsidP="377C88FB">
            <w:pPr>
              <w:spacing w:beforeAutospacing="1" w:afterAutospacing="1"/>
              <w:jc w:val="both"/>
              <w:rPr>
                <w:rFonts w:ascii="Source Sans Pro" w:eastAsia="Source Sans Pro" w:hAnsi="Source Sans Pro" w:cs="Source Sans Pro"/>
                <w:color w:val="2D2D2D"/>
                <w:sz w:val="22"/>
                <w:szCs w:val="22"/>
              </w:rPr>
            </w:pPr>
            <w:r w:rsidRPr="377C88FB">
              <w:rPr>
                <w:rFonts w:ascii="Source Sans Pro" w:eastAsia="Source Sans Pro" w:hAnsi="Source Sans Pro" w:cs="Source Sans Pro"/>
                <w:color w:val="2D2D2D"/>
                <w:sz w:val="22"/>
                <w:szCs w:val="22"/>
              </w:rPr>
              <w:t>Our values describe what matters most to us, and what our colleagues should expect from each other. We’re all expected to show how we support and live up to these values in our work.  </w:t>
            </w:r>
          </w:p>
          <w:p w14:paraId="6EDF7CB5" w14:textId="61851F17" w:rsidR="377C88FB" w:rsidRDefault="377C88FB" w:rsidP="377C88FB">
            <w:pPr>
              <w:spacing w:beforeAutospacing="1" w:afterAutospacing="1"/>
              <w:jc w:val="both"/>
              <w:rPr>
                <w:rFonts w:ascii="Source Sans Pro" w:eastAsia="Source Sans Pro" w:hAnsi="Source Sans Pro" w:cs="Source Sans Pro"/>
                <w:color w:val="2D2D2D"/>
                <w:sz w:val="22"/>
                <w:szCs w:val="22"/>
              </w:rPr>
            </w:pPr>
            <w:r w:rsidRPr="377C88FB">
              <w:rPr>
                <w:rFonts w:ascii="Source Sans Pro" w:eastAsia="Source Sans Pro" w:hAnsi="Source Sans Pro" w:cs="Source Sans Pro"/>
                <w:b/>
                <w:bCs/>
                <w:color w:val="2D2D2D"/>
                <w:sz w:val="22"/>
                <w:szCs w:val="22"/>
              </w:rPr>
              <w:t>Create trust</w:t>
            </w:r>
            <w:r w:rsidRPr="377C88FB">
              <w:rPr>
                <w:rFonts w:ascii="Source Sans Pro" w:eastAsia="Source Sans Pro" w:hAnsi="Source Sans Pro" w:cs="Source Sans Pro"/>
                <w:color w:val="2D2D2D"/>
                <w:sz w:val="22"/>
                <w:szCs w:val="22"/>
              </w:rPr>
              <w:t xml:space="preserve"> • Do the right thing, not the easy thing • Be honest and open • Do what you say. </w:t>
            </w:r>
          </w:p>
          <w:p w14:paraId="414F91E3" w14:textId="045606A7" w:rsidR="377C88FB" w:rsidRDefault="377C88FB" w:rsidP="377C88FB">
            <w:pPr>
              <w:spacing w:beforeAutospacing="1" w:afterAutospacing="1"/>
              <w:jc w:val="both"/>
              <w:rPr>
                <w:rFonts w:ascii="Source Sans Pro" w:eastAsia="Source Sans Pro" w:hAnsi="Source Sans Pro" w:cs="Source Sans Pro"/>
                <w:color w:val="2D2D2D"/>
                <w:sz w:val="22"/>
                <w:szCs w:val="22"/>
              </w:rPr>
            </w:pPr>
            <w:r w:rsidRPr="377C88FB">
              <w:rPr>
                <w:rFonts w:ascii="Source Sans Pro" w:eastAsia="Source Sans Pro" w:hAnsi="Source Sans Pro" w:cs="Source Sans Pro"/>
                <w:b/>
                <w:bCs/>
                <w:color w:val="2D2D2D"/>
                <w:sz w:val="22"/>
                <w:szCs w:val="22"/>
              </w:rPr>
              <w:t>Be curious</w:t>
            </w:r>
            <w:r w:rsidRPr="377C88FB">
              <w:rPr>
                <w:rFonts w:ascii="Source Sans Pro" w:eastAsia="Source Sans Pro" w:hAnsi="Source Sans Pro" w:cs="Source Sans Pro"/>
                <w:color w:val="2D2D2D"/>
                <w:sz w:val="22"/>
                <w:szCs w:val="22"/>
              </w:rPr>
              <w:t xml:space="preserve"> • Think differently • Ask questions • Keep learning. </w:t>
            </w:r>
          </w:p>
          <w:p w14:paraId="5BEA9A1A" w14:textId="26347933" w:rsidR="377C88FB" w:rsidRDefault="377C88FB" w:rsidP="377C88FB">
            <w:pPr>
              <w:spacing w:beforeAutospacing="1" w:afterAutospacing="1"/>
              <w:jc w:val="both"/>
              <w:rPr>
                <w:rFonts w:ascii="Source Sans Pro" w:eastAsia="Source Sans Pro" w:hAnsi="Source Sans Pro" w:cs="Source Sans Pro"/>
                <w:color w:val="2D2D2D"/>
                <w:sz w:val="22"/>
                <w:szCs w:val="22"/>
              </w:rPr>
            </w:pPr>
            <w:r w:rsidRPr="377C88FB">
              <w:rPr>
                <w:rFonts w:ascii="Source Sans Pro" w:eastAsia="Source Sans Pro" w:hAnsi="Source Sans Pro" w:cs="Source Sans Pro"/>
                <w:b/>
                <w:bCs/>
                <w:color w:val="2D2D2D"/>
                <w:sz w:val="22"/>
                <w:szCs w:val="22"/>
              </w:rPr>
              <w:t>Make it happen</w:t>
            </w:r>
            <w:r w:rsidRPr="377C88FB">
              <w:rPr>
                <w:rFonts w:ascii="Source Sans Pro" w:eastAsia="Source Sans Pro" w:hAnsi="Source Sans Pro" w:cs="Source Sans Pro"/>
                <w:color w:val="2D2D2D"/>
                <w:sz w:val="22"/>
                <w:szCs w:val="22"/>
              </w:rPr>
              <w:t xml:space="preserve"> • Own it • Do it • Be empowered. </w:t>
            </w:r>
          </w:p>
          <w:p w14:paraId="065F6945" w14:textId="57F33BF0" w:rsidR="377C88FB" w:rsidRDefault="377C88FB" w:rsidP="377C88FB">
            <w:pPr>
              <w:spacing w:beforeAutospacing="1" w:afterAutospacing="1"/>
              <w:jc w:val="both"/>
              <w:rPr>
                <w:rFonts w:ascii="Source Sans Pro" w:eastAsia="Source Sans Pro" w:hAnsi="Source Sans Pro" w:cs="Source Sans Pro"/>
                <w:color w:val="2D2D2D"/>
                <w:sz w:val="22"/>
                <w:szCs w:val="22"/>
              </w:rPr>
            </w:pPr>
            <w:r w:rsidRPr="377C88FB">
              <w:rPr>
                <w:rFonts w:ascii="Source Sans Pro" w:eastAsia="Source Sans Pro" w:hAnsi="Source Sans Pro" w:cs="Source Sans Pro"/>
                <w:b/>
                <w:bCs/>
                <w:color w:val="2D2D2D"/>
                <w:sz w:val="22"/>
                <w:szCs w:val="22"/>
              </w:rPr>
              <w:t>Achieve impact</w:t>
            </w:r>
            <w:r w:rsidRPr="377C88FB">
              <w:rPr>
                <w:rFonts w:ascii="Source Sans Pro" w:eastAsia="Source Sans Pro" w:hAnsi="Source Sans Pro" w:cs="Source Sans Pro"/>
                <w:color w:val="2D2D2D"/>
                <w:sz w:val="22"/>
                <w:szCs w:val="22"/>
              </w:rPr>
              <w:t xml:space="preserve"> • Do things that matter • Deliver results • Show pride and passion. </w:t>
            </w:r>
          </w:p>
          <w:p w14:paraId="4D88414E" w14:textId="176F8340" w:rsidR="377C88FB" w:rsidRDefault="377C88FB" w:rsidP="377C88FB">
            <w:pPr>
              <w:spacing w:beforeAutospacing="1" w:afterAutospacing="1"/>
              <w:jc w:val="both"/>
              <w:rPr>
                <w:rFonts w:ascii="Source Sans Pro" w:eastAsia="Source Sans Pro" w:hAnsi="Source Sans Pro" w:cs="Source Sans Pro"/>
                <w:color w:val="2D2D2D"/>
                <w:sz w:val="22"/>
                <w:szCs w:val="22"/>
              </w:rPr>
            </w:pPr>
            <w:r w:rsidRPr="377C88FB">
              <w:rPr>
                <w:rFonts w:ascii="Source Sans Pro" w:eastAsia="Source Sans Pro" w:hAnsi="Source Sans Pro" w:cs="Source Sans Pro"/>
                <w:b/>
                <w:bCs/>
                <w:color w:val="2D2D2D"/>
                <w:sz w:val="22"/>
                <w:szCs w:val="22"/>
              </w:rPr>
              <w:t>Have fun</w:t>
            </w:r>
            <w:r w:rsidRPr="377C88FB">
              <w:rPr>
                <w:rFonts w:ascii="Source Sans Pro" w:eastAsia="Source Sans Pro" w:hAnsi="Source Sans Pro" w:cs="Source Sans Pro"/>
                <w:color w:val="2D2D2D"/>
                <w:sz w:val="22"/>
                <w:szCs w:val="22"/>
              </w:rPr>
              <w:t xml:space="preserve"> • Enjoy work • Be yourself • Stay connected. </w:t>
            </w:r>
          </w:p>
          <w:p w14:paraId="1B64F460" w14:textId="2453FCF9" w:rsidR="377C88FB" w:rsidRDefault="377C88FB" w:rsidP="377C88FB">
            <w:pPr>
              <w:spacing w:beforeAutospacing="1" w:afterAutospacing="1"/>
              <w:jc w:val="both"/>
              <w:rPr>
                <w:rFonts w:ascii="Source Sans Pro" w:eastAsia="Source Sans Pro" w:hAnsi="Source Sans Pro" w:cs="Source Sans Pro"/>
                <w:color w:val="2D2D2D"/>
                <w:sz w:val="22"/>
                <w:szCs w:val="22"/>
              </w:rPr>
            </w:pPr>
            <w:r w:rsidRPr="377C88FB">
              <w:rPr>
                <w:rFonts w:ascii="Source Sans Pro" w:eastAsia="Source Sans Pro" w:hAnsi="Source Sans Pro" w:cs="Source Sans Pro"/>
                <w:color w:val="2D2D2D"/>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tc>
      </w:tr>
    </w:tbl>
    <w:p w14:paraId="3FDFA067" w14:textId="0BAFDE62" w:rsidR="007E0A5F" w:rsidRDefault="007E0A5F" w:rsidP="377C88FB">
      <w:pPr>
        <w:jc w:val="both"/>
        <w:rPr>
          <w:rFonts w:ascii="Source Sans Pro" w:eastAsia="Source Sans Pro" w:hAnsi="Source Sans Pro" w:cs="Source Sans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30"/>
        <w:gridCol w:w="5680"/>
      </w:tblGrid>
      <w:tr w:rsidR="377C88FB" w14:paraId="3B9DC8F2" w14:textId="77777777" w:rsidTr="377C88FB">
        <w:trPr>
          <w:trHeight w:val="300"/>
        </w:trPr>
        <w:tc>
          <w:tcPr>
            <w:tcW w:w="3525" w:type="dxa"/>
            <w:shd w:val="clear" w:color="auto" w:fill="D9D9D9" w:themeFill="background1" w:themeFillShade="D9"/>
            <w:tcMar>
              <w:left w:w="105" w:type="dxa"/>
              <w:right w:w="105" w:type="dxa"/>
            </w:tcMar>
          </w:tcPr>
          <w:p w14:paraId="55B62403" w14:textId="43BEB8F2" w:rsidR="377C88FB" w:rsidRDefault="377C88FB" w:rsidP="377C88FB">
            <w:pPr>
              <w:spacing w:before="60" w:after="60"/>
              <w:rPr>
                <w:rFonts w:ascii="Source Sans Pro" w:eastAsia="Source Sans Pro" w:hAnsi="Source Sans Pro" w:cs="Source Sans Pro"/>
                <w:sz w:val="22"/>
                <w:szCs w:val="22"/>
              </w:rPr>
            </w:pPr>
            <w:r w:rsidRPr="377C88FB">
              <w:rPr>
                <w:rFonts w:ascii="Source Sans Pro" w:eastAsia="Source Sans Pro" w:hAnsi="Source Sans Pro" w:cs="Source Sans Pro"/>
                <w:b/>
                <w:bCs/>
                <w:sz w:val="22"/>
                <w:szCs w:val="22"/>
                <w:lang w:val="en-US"/>
              </w:rPr>
              <w:t>Date Role Profile last reviewed:</w:t>
            </w:r>
          </w:p>
        </w:tc>
        <w:tc>
          <w:tcPr>
            <w:tcW w:w="6090" w:type="dxa"/>
            <w:tcMar>
              <w:left w:w="105" w:type="dxa"/>
              <w:right w:w="105" w:type="dxa"/>
            </w:tcMar>
          </w:tcPr>
          <w:p w14:paraId="1B38B52F" w14:textId="0C082D85" w:rsidR="377C88FB" w:rsidRDefault="377C88FB" w:rsidP="377C88FB">
            <w:pPr>
              <w:spacing w:before="60" w:after="60"/>
              <w:rPr>
                <w:rFonts w:ascii="Source Sans Pro" w:eastAsia="Source Sans Pro" w:hAnsi="Source Sans Pro" w:cs="Source Sans Pro"/>
                <w:sz w:val="22"/>
                <w:szCs w:val="22"/>
              </w:rPr>
            </w:pPr>
            <w:r w:rsidRPr="377C88FB">
              <w:rPr>
                <w:rFonts w:ascii="Source Sans Pro" w:eastAsia="Source Sans Pro" w:hAnsi="Source Sans Pro" w:cs="Source Sans Pro"/>
                <w:sz w:val="22"/>
                <w:szCs w:val="22"/>
                <w:lang w:val="en-US"/>
              </w:rPr>
              <w:t>December 2025</w:t>
            </w:r>
          </w:p>
        </w:tc>
      </w:tr>
    </w:tbl>
    <w:p w14:paraId="551F61B4" w14:textId="2F6932CD" w:rsidR="007E0A5F" w:rsidRDefault="007E0A5F" w:rsidP="377C88FB">
      <w:pPr>
        <w:jc w:val="both"/>
        <w:rPr>
          <w:rFonts w:ascii="Source Sans Pro" w:eastAsia="Source Sans Pro" w:hAnsi="Source Sans Pro" w:cs="Source Sans Pro"/>
          <w:color w:val="000000" w:themeColor="text1"/>
          <w:sz w:val="22"/>
          <w:szCs w:val="22"/>
        </w:rPr>
      </w:pPr>
    </w:p>
    <w:p w14:paraId="5E5787A5" w14:textId="181982A3" w:rsidR="007E0A5F" w:rsidRDefault="007E0A5F"/>
    <w:sectPr w:rsidR="007E0A5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F75B"/>
    <w:multiLevelType w:val="hybridMultilevel"/>
    <w:tmpl w:val="82FEF312"/>
    <w:lvl w:ilvl="0" w:tplc="B4B638FC">
      <w:start w:val="1"/>
      <w:numFmt w:val="bullet"/>
      <w:lvlText w:val="·"/>
      <w:lvlJc w:val="left"/>
      <w:pPr>
        <w:ind w:left="360" w:hanging="360"/>
      </w:pPr>
      <w:rPr>
        <w:rFonts w:ascii="Symbol" w:hAnsi="Symbol" w:hint="default"/>
      </w:rPr>
    </w:lvl>
    <w:lvl w:ilvl="1" w:tplc="8A44DBAE">
      <w:start w:val="1"/>
      <w:numFmt w:val="bullet"/>
      <w:lvlText w:val="o"/>
      <w:lvlJc w:val="left"/>
      <w:pPr>
        <w:ind w:left="1440" w:hanging="360"/>
      </w:pPr>
      <w:rPr>
        <w:rFonts w:ascii="Courier New" w:hAnsi="Courier New" w:hint="default"/>
      </w:rPr>
    </w:lvl>
    <w:lvl w:ilvl="2" w:tplc="51F0D53E">
      <w:start w:val="1"/>
      <w:numFmt w:val="bullet"/>
      <w:lvlText w:val=""/>
      <w:lvlJc w:val="left"/>
      <w:pPr>
        <w:ind w:left="2160" w:hanging="360"/>
      </w:pPr>
      <w:rPr>
        <w:rFonts w:ascii="Wingdings" w:hAnsi="Wingdings" w:hint="default"/>
      </w:rPr>
    </w:lvl>
    <w:lvl w:ilvl="3" w:tplc="241A699A">
      <w:start w:val="1"/>
      <w:numFmt w:val="bullet"/>
      <w:lvlText w:val=""/>
      <w:lvlJc w:val="left"/>
      <w:pPr>
        <w:ind w:left="2880" w:hanging="360"/>
      </w:pPr>
      <w:rPr>
        <w:rFonts w:ascii="Symbol" w:hAnsi="Symbol" w:hint="default"/>
      </w:rPr>
    </w:lvl>
    <w:lvl w:ilvl="4" w:tplc="90A0B8B4">
      <w:start w:val="1"/>
      <w:numFmt w:val="bullet"/>
      <w:lvlText w:val="o"/>
      <w:lvlJc w:val="left"/>
      <w:pPr>
        <w:ind w:left="3600" w:hanging="360"/>
      </w:pPr>
      <w:rPr>
        <w:rFonts w:ascii="Courier New" w:hAnsi="Courier New" w:hint="default"/>
      </w:rPr>
    </w:lvl>
    <w:lvl w:ilvl="5" w:tplc="7216120E">
      <w:start w:val="1"/>
      <w:numFmt w:val="bullet"/>
      <w:lvlText w:val=""/>
      <w:lvlJc w:val="left"/>
      <w:pPr>
        <w:ind w:left="4320" w:hanging="360"/>
      </w:pPr>
      <w:rPr>
        <w:rFonts w:ascii="Wingdings" w:hAnsi="Wingdings" w:hint="default"/>
      </w:rPr>
    </w:lvl>
    <w:lvl w:ilvl="6" w:tplc="F828C3EA">
      <w:start w:val="1"/>
      <w:numFmt w:val="bullet"/>
      <w:lvlText w:val=""/>
      <w:lvlJc w:val="left"/>
      <w:pPr>
        <w:ind w:left="5040" w:hanging="360"/>
      </w:pPr>
      <w:rPr>
        <w:rFonts w:ascii="Symbol" w:hAnsi="Symbol" w:hint="default"/>
      </w:rPr>
    </w:lvl>
    <w:lvl w:ilvl="7" w:tplc="67B02470">
      <w:start w:val="1"/>
      <w:numFmt w:val="bullet"/>
      <w:lvlText w:val="o"/>
      <w:lvlJc w:val="left"/>
      <w:pPr>
        <w:ind w:left="5760" w:hanging="360"/>
      </w:pPr>
      <w:rPr>
        <w:rFonts w:ascii="Courier New" w:hAnsi="Courier New" w:hint="default"/>
      </w:rPr>
    </w:lvl>
    <w:lvl w:ilvl="8" w:tplc="5744387A">
      <w:start w:val="1"/>
      <w:numFmt w:val="bullet"/>
      <w:lvlText w:val=""/>
      <w:lvlJc w:val="left"/>
      <w:pPr>
        <w:ind w:left="6480" w:hanging="360"/>
      </w:pPr>
      <w:rPr>
        <w:rFonts w:ascii="Wingdings" w:hAnsi="Wingdings" w:hint="default"/>
      </w:rPr>
    </w:lvl>
  </w:abstractNum>
  <w:abstractNum w:abstractNumId="1" w15:restartNumberingAfterBreak="0">
    <w:nsid w:val="445BCA6E"/>
    <w:multiLevelType w:val="multilevel"/>
    <w:tmpl w:val="16CE39F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E2F230"/>
    <w:multiLevelType w:val="multilevel"/>
    <w:tmpl w:val="E0BE592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80087758">
    <w:abstractNumId w:val="2"/>
  </w:num>
  <w:num w:numId="2" w16cid:durableId="497305593">
    <w:abstractNumId w:val="0"/>
  </w:num>
  <w:num w:numId="3" w16cid:durableId="25290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55599C"/>
    <w:rsid w:val="0051040E"/>
    <w:rsid w:val="006238E4"/>
    <w:rsid w:val="00776698"/>
    <w:rsid w:val="007E0A5F"/>
    <w:rsid w:val="0644FC12"/>
    <w:rsid w:val="09AF628A"/>
    <w:rsid w:val="0C76AE2A"/>
    <w:rsid w:val="0D4A93F2"/>
    <w:rsid w:val="0DEEC26B"/>
    <w:rsid w:val="11FDC19E"/>
    <w:rsid w:val="18678AD0"/>
    <w:rsid w:val="18A5658C"/>
    <w:rsid w:val="1911A3BF"/>
    <w:rsid w:val="1995BF12"/>
    <w:rsid w:val="274AF382"/>
    <w:rsid w:val="2B7B196F"/>
    <w:rsid w:val="2C860116"/>
    <w:rsid w:val="377C88FB"/>
    <w:rsid w:val="3A35AE04"/>
    <w:rsid w:val="3A8340B1"/>
    <w:rsid w:val="3D6962E6"/>
    <w:rsid w:val="3E894F80"/>
    <w:rsid w:val="42553E61"/>
    <w:rsid w:val="42F88FC0"/>
    <w:rsid w:val="4F55599C"/>
    <w:rsid w:val="505CB992"/>
    <w:rsid w:val="5341ADE4"/>
    <w:rsid w:val="5385A8F3"/>
    <w:rsid w:val="59542CED"/>
    <w:rsid w:val="607B2956"/>
    <w:rsid w:val="63AC6A82"/>
    <w:rsid w:val="649AAD59"/>
    <w:rsid w:val="6689468A"/>
    <w:rsid w:val="6C8A81AF"/>
    <w:rsid w:val="6D00F8BC"/>
    <w:rsid w:val="6D3387DD"/>
    <w:rsid w:val="6DA82A65"/>
    <w:rsid w:val="6EFC0481"/>
    <w:rsid w:val="70A494C2"/>
    <w:rsid w:val="740EF85B"/>
    <w:rsid w:val="76687A63"/>
    <w:rsid w:val="7680A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599C"/>
  <w15:chartTrackingRefBased/>
  <w15:docId w15:val="{F7D1BF63-2F7B-4D57-B552-53627183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77C88FB"/>
    <w:pPr>
      <w:ind w:left="720"/>
      <w:contextualSpacing/>
    </w:pPr>
  </w:style>
  <w:style w:type="paragraph" w:customStyle="1" w:styleId="xmsolistparagraph">
    <w:name w:val="x_msolistparagraph"/>
    <w:basedOn w:val="Normal"/>
    <w:uiPriority w:val="1"/>
    <w:rsid w:val="377C88FB"/>
    <w:pPr>
      <w:ind w:left="720"/>
    </w:pPr>
    <w:rPr>
      <w:sz w:val="22"/>
      <w:szCs w:val="22"/>
      <w:lang w:eastAsia="en-GB"/>
    </w:rPr>
  </w:style>
  <w:style w:type="character" w:styleId="Hyperlink">
    <w:name w:val="Hyperlink"/>
    <w:basedOn w:val="DefaultParagraphFont"/>
    <w:uiPriority w:val="99"/>
    <w:unhideWhenUsed/>
    <w:rsid w:val="377C88F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6203</Characters>
  <Application>Microsoft Office Word</Application>
  <DocSecurity>0</DocSecurity>
  <Lines>138</Lines>
  <Paragraphs>74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Lockhart</dc:creator>
  <cp:keywords/>
  <dc:description/>
  <cp:lastModifiedBy>Molly Gaunt</cp:lastModifiedBy>
  <cp:revision>3</cp:revision>
  <dcterms:created xsi:type="dcterms:W3CDTF">2026-02-17T09:43:00Z</dcterms:created>
  <dcterms:modified xsi:type="dcterms:W3CDTF">2026-02-17T09:43:00Z</dcterms:modified>
</cp:coreProperties>
</file>